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B1" w:rsidRPr="00975243" w:rsidRDefault="002A6CB1" w:rsidP="006121D6">
      <w:pPr>
        <w:spacing w:afterLines="100" w:after="36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75243">
        <w:rPr>
          <w:rFonts w:ascii="標楷體" w:eastAsia="標楷體" w:hAnsi="標楷體" w:hint="eastAsia"/>
          <w:b/>
          <w:sz w:val="36"/>
          <w:szCs w:val="36"/>
        </w:rPr>
        <w:t>法務部106年度服務</w:t>
      </w:r>
      <w:r w:rsidR="00883815" w:rsidRPr="00975243">
        <w:rPr>
          <w:rFonts w:ascii="標楷體" w:eastAsia="標楷體" w:hAnsi="標楷體" w:hint="eastAsia"/>
          <w:b/>
          <w:sz w:val="36"/>
          <w:szCs w:val="36"/>
        </w:rPr>
        <w:t>躍升</w:t>
      </w:r>
      <w:r w:rsidRPr="00975243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2A6CB1" w:rsidRPr="00975243" w:rsidRDefault="002A6CB1" w:rsidP="006121D6">
      <w:pPr>
        <w:spacing w:afterLines="100" w:after="360" w:line="500" w:lineRule="exact"/>
        <w:jc w:val="right"/>
        <w:rPr>
          <w:rFonts w:ascii="標楷體" w:eastAsia="標楷體" w:hAnsi="標楷體"/>
          <w:b/>
        </w:rPr>
      </w:pPr>
      <w:r w:rsidRPr="00975243">
        <w:rPr>
          <w:rFonts w:ascii="標楷體" w:eastAsia="標楷體" w:hAnsi="標楷體"/>
          <w:b/>
        </w:rPr>
        <w:t>10</w:t>
      </w:r>
      <w:r w:rsidR="00883815" w:rsidRPr="00975243">
        <w:rPr>
          <w:rFonts w:ascii="標楷體" w:eastAsia="標楷體" w:hAnsi="標楷體" w:hint="eastAsia"/>
          <w:b/>
        </w:rPr>
        <w:t>6</w:t>
      </w:r>
      <w:r w:rsidRPr="00975243">
        <w:rPr>
          <w:rFonts w:ascii="標楷體" w:eastAsia="標楷體" w:hAnsi="標楷體" w:hint="eastAsia"/>
          <w:b/>
        </w:rPr>
        <w:t>年</w:t>
      </w:r>
      <w:r w:rsidR="00E85023">
        <w:rPr>
          <w:rFonts w:ascii="標楷體" w:eastAsia="標楷體" w:hAnsi="標楷體" w:hint="eastAsia"/>
          <w:b/>
        </w:rPr>
        <w:t>2</w:t>
      </w:r>
      <w:r w:rsidRPr="00975243">
        <w:rPr>
          <w:rFonts w:ascii="標楷體" w:eastAsia="標楷體" w:hAnsi="標楷體" w:hint="eastAsia"/>
          <w:b/>
        </w:rPr>
        <w:t>月</w:t>
      </w:r>
      <w:r w:rsidR="00E85023">
        <w:rPr>
          <w:rFonts w:ascii="標楷體" w:eastAsia="標楷體" w:hAnsi="標楷體" w:hint="eastAsia"/>
          <w:b/>
        </w:rPr>
        <w:t>24</w:t>
      </w:r>
      <w:bookmarkStart w:id="0" w:name="_GoBack"/>
      <w:bookmarkEnd w:id="0"/>
      <w:r w:rsidRPr="00975243">
        <w:rPr>
          <w:rFonts w:ascii="標楷體" w:eastAsia="標楷體" w:hAnsi="標楷體" w:hint="eastAsia"/>
          <w:b/>
        </w:rPr>
        <w:t>日法務部法綜字第</w:t>
      </w:r>
      <w:r w:rsidRPr="00975243">
        <w:rPr>
          <w:rFonts w:ascii="標楷體" w:eastAsia="標楷體" w:hAnsi="標楷體"/>
          <w:b/>
        </w:rPr>
        <w:t>10</w:t>
      </w:r>
      <w:r w:rsidR="00883815" w:rsidRPr="00975243">
        <w:rPr>
          <w:rFonts w:ascii="標楷體" w:eastAsia="標楷體" w:hAnsi="標楷體" w:hint="eastAsia"/>
          <w:b/>
        </w:rPr>
        <w:t>6</w:t>
      </w:r>
      <w:r w:rsidRPr="00975243">
        <w:rPr>
          <w:rFonts w:ascii="標楷體" w:eastAsia="標楷體" w:hAnsi="標楷體"/>
          <w:b/>
        </w:rPr>
        <w:t>015</w:t>
      </w:r>
      <w:r w:rsidR="004B57D0">
        <w:rPr>
          <w:rFonts w:ascii="標楷體" w:eastAsia="標楷體" w:hAnsi="標楷體" w:hint="eastAsia"/>
          <w:b/>
        </w:rPr>
        <w:t>1065</w:t>
      </w:r>
      <w:r w:rsidRPr="00975243">
        <w:rPr>
          <w:rFonts w:ascii="標楷體" w:eastAsia="標楷體" w:hAnsi="標楷體" w:hint="eastAsia"/>
          <w:b/>
        </w:rPr>
        <w:t>0號函頒</w:t>
      </w:r>
    </w:p>
    <w:p w:rsidR="002A6CB1" w:rsidRPr="00975243" w:rsidRDefault="002A6CB1" w:rsidP="009272EB">
      <w:pPr>
        <w:adjustRightInd w:val="0"/>
        <w:snapToGrid w:val="0"/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壹、依據</w:t>
      </w:r>
    </w:p>
    <w:p w:rsidR="00B861A0" w:rsidRDefault="001A4EDF" w:rsidP="001A4EDF">
      <w:pPr>
        <w:spacing w:line="540" w:lineRule="exact"/>
        <w:ind w:leftChars="100" w:left="880" w:hangingChars="200" w:hanging="640"/>
        <w:jc w:val="both"/>
        <w:textDirection w:val="lrTbV"/>
        <w:rPr>
          <w:rFonts w:ascii="標楷體" w:eastAsia="標楷體" w:hAnsi="標楷體" w:cs="Tahoma"/>
          <w:bCs/>
          <w:sz w:val="32"/>
          <w:szCs w:val="32"/>
        </w:rPr>
      </w:pPr>
      <w:r w:rsidRPr="001A4EDF">
        <w:rPr>
          <w:rFonts w:ascii="標楷體" w:eastAsia="標楷體" w:hAnsi="標楷體" w:cs="Tahoma"/>
          <w:sz w:val="32"/>
          <w:szCs w:val="20"/>
        </w:rPr>
        <w:t>一、</w:t>
      </w:r>
      <w:r w:rsidRPr="001A4EDF">
        <w:rPr>
          <w:rFonts w:ascii="標楷體" w:eastAsia="標楷體" w:hAnsi="標楷體" w:cs="Tahoma"/>
          <w:bCs/>
          <w:sz w:val="32"/>
          <w:szCs w:val="32"/>
        </w:rPr>
        <w:t>行政院</w:t>
      </w:r>
      <w:r w:rsidRPr="001A4EDF">
        <w:rPr>
          <w:rFonts w:ascii="標楷體" w:eastAsia="標楷體" w:hAnsi="標楷體" w:cs="Tahoma" w:hint="eastAsia"/>
          <w:bCs/>
          <w:sz w:val="32"/>
          <w:szCs w:val="32"/>
        </w:rPr>
        <w:t>106</w:t>
      </w:r>
      <w:r w:rsidRPr="001A4EDF">
        <w:rPr>
          <w:rFonts w:ascii="標楷體" w:eastAsia="標楷體" w:hAnsi="標楷體" w:cs="Tahoma"/>
          <w:bCs/>
          <w:sz w:val="32"/>
          <w:szCs w:val="32"/>
        </w:rPr>
        <w:t>年</w:t>
      </w:r>
      <w:r w:rsidRPr="001A4EDF">
        <w:rPr>
          <w:rFonts w:ascii="標楷體" w:eastAsia="標楷體" w:hAnsi="標楷體" w:cs="Tahoma" w:hint="eastAsia"/>
          <w:bCs/>
          <w:sz w:val="32"/>
          <w:szCs w:val="32"/>
        </w:rPr>
        <w:t>1</w:t>
      </w:r>
      <w:r w:rsidRPr="001A4EDF">
        <w:rPr>
          <w:rFonts w:ascii="標楷體" w:eastAsia="標楷體" w:hAnsi="標楷體" w:cs="Tahoma"/>
          <w:bCs/>
          <w:sz w:val="32"/>
          <w:szCs w:val="32"/>
        </w:rPr>
        <w:t>月</w:t>
      </w:r>
      <w:r w:rsidRPr="001A4EDF">
        <w:rPr>
          <w:rFonts w:ascii="標楷體" w:eastAsia="標楷體" w:hAnsi="標楷體" w:cs="Tahoma" w:hint="eastAsia"/>
          <w:bCs/>
          <w:sz w:val="32"/>
          <w:szCs w:val="32"/>
        </w:rPr>
        <w:t>9</w:t>
      </w:r>
      <w:r w:rsidRPr="001A4EDF">
        <w:rPr>
          <w:rFonts w:ascii="標楷體" w:eastAsia="標楷體" w:hAnsi="標楷體" w:cs="Tahoma"/>
          <w:bCs/>
          <w:sz w:val="32"/>
          <w:szCs w:val="32"/>
        </w:rPr>
        <w:t>日院授</w:t>
      </w:r>
      <w:r w:rsidRPr="001A4EDF">
        <w:rPr>
          <w:rFonts w:ascii="標楷體" w:eastAsia="標楷體" w:hAnsi="標楷體" w:cs="Tahoma" w:hint="eastAsia"/>
          <w:bCs/>
          <w:sz w:val="32"/>
          <w:szCs w:val="32"/>
        </w:rPr>
        <w:t>發社</w:t>
      </w:r>
      <w:r w:rsidRPr="001A4EDF">
        <w:rPr>
          <w:rFonts w:ascii="標楷體" w:eastAsia="標楷體" w:hAnsi="標楷體" w:cs="Tahoma"/>
          <w:bCs/>
          <w:sz w:val="32"/>
          <w:szCs w:val="32"/>
        </w:rPr>
        <w:t>字第1</w:t>
      </w:r>
      <w:r w:rsidRPr="001A4EDF">
        <w:rPr>
          <w:rFonts w:ascii="標楷體" w:eastAsia="標楷體" w:hAnsi="標楷體" w:cs="Tahoma" w:hint="eastAsia"/>
          <w:bCs/>
          <w:sz w:val="32"/>
          <w:szCs w:val="32"/>
        </w:rPr>
        <w:t>06130000</w:t>
      </w:r>
      <w:r w:rsidR="00047434">
        <w:rPr>
          <w:rFonts w:ascii="標楷體" w:eastAsia="標楷體" w:hAnsi="標楷體" w:cs="Tahoma" w:hint="eastAsia"/>
          <w:bCs/>
          <w:sz w:val="32"/>
          <w:szCs w:val="32"/>
        </w:rPr>
        <w:t>8</w:t>
      </w:r>
      <w:r w:rsidRPr="001A4EDF">
        <w:rPr>
          <w:rFonts w:ascii="標楷體" w:eastAsia="標楷體" w:hAnsi="標楷體" w:cs="Tahoma"/>
          <w:bCs/>
          <w:sz w:val="32"/>
          <w:szCs w:val="32"/>
        </w:rPr>
        <w:t>號函頒</w:t>
      </w:r>
    </w:p>
    <w:p w:rsidR="001A4EDF" w:rsidRPr="001A4EDF" w:rsidRDefault="00B861A0" w:rsidP="001A4EDF">
      <w:pPr>
        <w:spacing w:line="540" w:lineRule="exact"/>
        <w:ind w:leftChars="100" w:left="880" w:hangingChars="200" w:hanging="640"/>
        <w:jc w:val="both"/>
        <w:textDirection w:val="lrTbV"/>
        <w:rPr>
          <w:rFonts w:ascii="標楷體" w:eastAsia="標楷體" w:hAnsi="標楷體" w:cs="Tahoma"/>
          <w:sz w:val="32"/>
          <w:szCs w:val="20"/>
        </w:rPr>
      </w:pPr>
      <w:r>
        <w:rPr>
          <w:rFonts w:ascii="標楷體" w:eastAsia="標楷體" w:hAnsi="標楷體" w:cs="Tahoma" w:hint="eastAsia"/>
          <w:bCs/>
          <w:sz w:val="32"/>
          <w:szCs w:val="32"/>
        </w:rPr>
        <w:t xml:space="preserve">    </w:t>
      </w:r>
      <w:r w:rsidR="001A4EDF" w:rsidRPr="001A4EDF">
        <w:rPr>
          <w:rFonts w:ascii="標楷體" w:eastAsia="標楷體" w:hAnsi="標楷體" w:cs="Tahoma"/>
          <w:bCs/>
          <w:sz w:val="32"/>
          <w:szCs w:val="32"/>
        </w:rPr>
        <w:t>「政府服務</w:t>
      </w:r>
      <w:r w:rsidR="001A4EDF" w:rsidRPr="001A4EDF">
        <w:rPr>
          <w:rFonts w:ascii="標楷體" w:eastAsia="標楷體" w:hAnsi="標楷體" w:cs="Tahoma" w:hint="eastAsia"/>
          <w:bCs/>
          <w:sz w:val="32"/>
          <w:szCs w:val="32"/>
        </w:rPr>
        <w:t>躍升</w:t>
      </w:r>
      <w:r w:rsidR="001A4EDF" w:rsidRPr="001A4EDF">
        <w:rPr>
          <w:rFonts w:ascii="標楷體" w:eastAsia="標楷體" w:hAnsi="標楷體" w:cs="Tahoma"/>
          <w:bCs/>
          <w:sz w:val="32"/>
          <w:szCs w:val="32"/>
        </w:rPr>
        <w:t>方案」。</w:t>
      </w:r>
    </w:p>
    <w:p w:rsidR="001A4EDF" w:rsidRPr="001A4EDF" w:rsidRDefault="001A4EDF" w:rsidP="001A4EDF">
      <w:pPr>
        <w:spacing w:line="540" w:lineRule="exact"/>
        <w:ind w:leftChars="100" w:left="880" w:hangingChars="200" w:hanging="640"/>
        <w:jc w:val="both"/>
        <w:textDirection w:val="lrTbV"/>
        <w:rPr>
          <w:rFonts w:ascii="標楷體" w:eastAsia="標楷體" w:hAnsi="標楷體" w:cs="Tahoma"/>
          <w:sz w:val="32"/>
          <w:szCs w:val="20"/>
        </w:rPr>
      </w:pPr>
      <w:r w:rsidRPr="001A4EDF">
        <w:rPr>
          <w:rFonts w:ascii="標楷體" w:eastAsia="標楷體" w:hAnsi="標楷體" w:cs="Tahoma"/>
          <w:sz w:val="32"/>
          <w:szCs w:val="20"/>
        </w:rPr>
        <w:t>二、</w:t>
      </w:r>
      <w:r w:rsidRPr="001A4EDF">
        <w:rPr>
          <w:rFonts w:ascii="標楷體" w:eastAsia="標楷體" w:hAnsi="標楷體" w:cs="Tahoma" w:hint="eastAsia"/>
          <w:bCs/>
          <w:sz w:val="32"/>
          <w:szCs w:val="32"/>
        </w:rPr>
        <w:t>國家</w:t>
      </w:r>
      <w:r w:rsidRPr="001A4EDF">
        <w:rPr>
          <w:rFonts w:ascii="標楷體" w:eastAsia="標楷體" w:hAnsi="標楷體" w:cs="Tahoma"/>
          <w:bCs/>
          <w:sz w:val="32"/>
          <w:szCs w:val="32"/>
        </w:rPr>
        <w:t>發展委員會</w:t>
      </w:r>
      <w:r w:rsidRPr="001A4EDF">
        <w:rPr>
          <w:rFonts w:ascii="標楷體" w:eastAsia="標楷體" w:hAnsi="標楷體" w:cs="Tahoma" w:hint="eastAsia"/>
          <w:bCs/>
          <w:sz w:val="32"/>
          <w:szCs w:val="32"/>
        </w:rPr>
        <w:t>106年1月25日發社字第1061300083號函頒第1屆「政府服務獎」評獎實施計畫。</w:t>
      </w:r>
    </w:p>
    <w:p w:rsidR="002A6CB1" w:rsidRPr="00975243" w:rsidRDefault="009A13ED" w:rsidP="009272EB">
      <w:pPr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貳</w:t>
      </w:r>
      <w:r w:rsidR="002A6CB1" w:rsidRPr="00975243">
        <w:rPr>
          <w:rFonts w:ascii="標楷體" w:eastAsia="標楷體" w:hAnsi="標楷體" w:hint="eastAsia"/>
          <w:sz w:val="32"/>
          <w:szCs w:val="32"/>
        </w:rPr>
        <w:t>、計畫目標</w:t>
      </w:r>
    </w:p>
    <w:p w:rsidR="002A6CB1" w:rsidRPr="00975243" w:rsidRDefault="002A6CB1" w:rsidP="00975243">
      <w:pPr>
        <w:spacing w:afterLines="50" w:after="180" w:line="5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/>
          <w:sz w:val="32"/>
          <w:szCs w:val="32"/>
        </w:rPr>
        <w:t xml:space="preserve">    </w:t>
      </w:r>
      <w:r w:rsidR="009A13ED" w:rsidRPr="00975243">
        <w:rPr>
          <w:rFonts w:ascii="標楷體" w:eastAsia="標楷體" w:hAnsi="標楷體" w:hint="eastAsia"/>
          <w:sz w:val="32"/>
          <w:szCs w:val="32"/>
        </w:rPr>
        <w:t>為精進本部</w:t>
      </w:r>
      <w:r w:rsidRPr="00975243">
        <w:rPr>
          <w:rFonts w:ascii="標楷體" w:eastAsia="標楷體" w:hAnsi="標楷體" w:hint="eastAsia"/>
          <w:sz w:val="32"/>
          <w:szCs w:val="32"/>
        </w:rPr>
        <w:t>「司法為民」之服務理念，</w:t>
      </w:r>
      <w:r w:rsidR="009A13ED" w:rsidRPr="00975243">
        <w:rPr>
          <w:rFonts w:ascii="標楷體" w:eastAsia="標楷體" w:hAnsi="標楷體" w:hint="eastAsia"/>
          <w:sz w:val="32"/>
          <w:szCs w:val="32"/>
        </w:rPr>
        <w:t>透過</w:t>
      </w:r>
      <w:r w:rsidRPr="00975243">
        <w:rPr>
          <w:rFonts w:ascii="標楷體" w:eastAsia="標楷體" w:hAnsi="標楷體" w:hint="eastAsia"/>
          <w:sz w:val="32"/>
          <w:szCs w:val="32"/>
        </w:rPr>
        <w:t>創新與</w:t>
      </w:r>
      <w:r w:rsidR="009A13ED" w:rsidRPr="00975243">
        <w:rPr>
          <w:rFonts w:ascii="標楷體" w:eastAsia="標楷體" w:hAnsi="標楷體" w:hint="eastAsia"/>
          <w:sz w:val="32"/>
          <w:szCs w:val="32"/>
        </w:rPr>
        <w:t>強化</w:t>
      </w:r>
      <w:r w:rsidRPr="00975243">
        <w:rPr>
          <w:rFonts w:ascii="標楷體" w:eastAsia="標楷體" w:hAnsi="標楷體" w:hint="eastAsia"/>
          <w:sz w:val="32"/>
          <w:szCs w:val="32"/>
        </w:rPr>
        <w:t>為民服務作為，</w:t>
      </w:r>
      <w:r w:rsidR="009A13ED" w:rsidRPr="00975243">
        <w:rPr>
          <w:rFonts w:ascii="標楷體" w:eastAsia="標楷體" w:hAnsi="標楷體" w:hint="eastAsia"/>
          <w:sz w:val="32"/>
          <w:szCs w:val="32"/>
        </w:rPr>
        <w:t>落實</w:t>
      </w:r>
      <w:r w:rsidRPr="00975243">
        <w:rPr>
          <w:rFonts w:ascii="標楷體" w:eastAsia="標楷體" w:hAnsi="標楷體" w:hint="eastAsia"/>
          <w:sz w:val="32"/>
          <w:szCs w:val="32"/>
        </w:rPr>
        <w:t>全方位優質服務，</w:t>
      </w:r>
      <w:r w:rsidR="009A13ED" w:rsidRPr="00975243">
        <w:rPr>
          <w:rFonts w:ascii="標楷體" w:eastAsia="標楷體" w:hAnsi="標楷體" w:hint="eastAsia"/>
          <w:sz w:val="32"/>
          <w:szCs w:val="32"/>
        </w:rPr>
        <w:t>積極</w:t>
      </w:r>
      <w:r w:rsidRPr="00975243">
        <w:rPr>
          <w:rFonts w:ascii="標楷體" w:eastAsia="標楷體" w:hAnsi="標楷體" w:hint="eastAsia"/>
          <w:sz w:val="32"/>
          <w:szCs w:val="32"/>
        </w:rPr>
        <w:t>提升法務機關親民形象與公信力之目標。</w:t>
      </w:r>
    </w:p>
    <w:p w:rsidR="009A13ED" w:rsidRPr="00975243" w:rsidRDefault="009A13ED" w:rsidP="009272EB">
      <w:pPr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參、實施對象</w:t>
      </w:r>
    </w:p>
    <w:p w:rsidR="009A13ED" w:rsidRPr="00975243" w:rsidRDefault="009A13ED" w:rsidP="009272EB">
      <w:pPr>
        <w:spacing w:afterLines="50" w:after="180" w:line="500" w:lineRule="exact"/>
        <w:ind w:leftChars="267" w:left="641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法務部（以下簡稱本部）所屬各地方法院檢察署、行政執行分署及矯正機關（以下簡稱各機關）。</w:t>
      </w:r>
    </w:p>
    <w:p w:rsidR="002A6CB1" w:rsidRPr="00975243" w:rsidRDefault="002A6CB1" w:rsidP="009272EB">
      <w:pPr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肆、執行策略及方法</w:t>
      </w:r>
    </w:p>
    <w:p w:rsidR="00EB1A24" w:rsidRPr="00975243" w:rsidRDefault="006121D6" w:rsidP="009272EB">
      <w:pPr>
        <w:suppressAutoHyphens/>
        <w:autoSpaceDN w:val="0"/>
        <w:spacing w:line="500" w:lineRule="exact"/>
        <w:ind w:leftChars="100" w:left="24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一、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完備基礎服務項目，注重服務特性差異化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（一）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建立業務標準作業流程，維持服務措施處理一致性；確保資訊提供、問題回應或申辦案件處理的正確性，並適時檢討改進流程與作業方式。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（二）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提供民眾易讀、易懂、易用的服務申辦資訊及進度查詢管道，提升服務流程透明度。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（三）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注重服務人員的禮貌態度，提高民眾臨櫃洽公或網站使用的便利性，建置合宜的服務環境。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（四）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因應業務屬性及服務特性差異，汲取創新趨勢，投入品質改善，發展優質服務。</w:t>
      </w:r>
    </w:p>
    <w:p w:rsidR="00EB1A24" w:rsidRPr="00975243" w:rsidRDefault="006121D6" w:rsidP="009272EB">
      <w:pPr>
        <w:suppressAutoHyphens/>
        <w:autoSpaceDN w:val="0"/>
        <w:spacing w:line="500" w:lineRule="exact"/>
        <w:ind w:leftChars="100" w:left="24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lastRenderedPageBreak/>
        <w:t>二、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重視全程意見回饋及參與，力求服務切合民眾需求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（一）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納入民眾參與服務設計或邀請民間協力合作，提供符合民眾需求的服務。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（二）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善用各類意見調查工具與機制，蒐集民眾對服務的需求或建議，適予調整服務措施。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（三）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依據服務特性辦理滿意度調查，瞭解民眾對服務的看法，並據以檢討改善既有措施。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（四）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傾聽民眾意見，積極回應，有效協助民眾解決問題。</w:t>
      </w:r>
    </w:p>
    <w:p w:rsidR="00EB1A24" w:rsidRPr="00975243" w:rsidRDefault="006121D6" w:rsidP="009272EB">
      <w:pPr>
        <w:suppressAutoHyphens/>
        <w:autoSpaceDN w:val="0"/>
        <w:spacing w:line="500" w:lineRule="exact"/>
        <w:ind w:leftChars="100" w:left="24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三、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便捷服務遞送過程與方式，提升民眾生活便利度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（一）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 xml:space="preserve">擴大單一窗口業務涵蓋範疇，減除申辦案件所需檢附之書表謄本，提高業務申辦便捷度。 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（二）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 xml:space="preserve">衡酌實際需求，開發線上申辦及跨平台通用服務，增加民眾使用意願。 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（三）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推動跨單位、跨機關服務流程整合及政府資訊資源共用共享，提供全程整合服務。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（四）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關注社經發展新趨勢，運用創新策略，持續精進服務遞送過程及作法，提升服務效能。</w:t>
      </w:r>
    </w:p>
    <w:p w:rsidR="00EB1A24" w:rsidRPr="00975243" w:rsidRDefault="006121D6" w:rsidP="009272EB">
      <w:pPr>
        <w:suppressAutoHyphens/>
        <w:autoSpaceDN w:val="0"/>
        <w:spacing w:line="500" w:lineRule="exact"/>
        <w:ind w:leftChars="100" w:left="24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四、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關懷多元對象及城鄉差距，促進社會資源公平使用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（一）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體認服務對象屬性差異，對特殊或弱勢族群提供適性服務，降低其取得服務的成本。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（二）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搭配複合策略，延伸服務據點，提高偏遠或交通不便地區民眾的服務可近性。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（三）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考量服務對象數位落差，發展網路服務或輔以其他方式，提供可替代的服務管道。</w:t>
      </w:r>
    </w:p>
    <w:p w:rsidR="00EB1A24" w:rsidRPr="00975243" w:rsidRDefault="006121D6" w:rsidP="009272EB">
      <w:pPr>
        <w:suppressAutoHyphens/>
        <w:autoSpaceDN w:val="0"/>
        <w:spacing w:line="500" w:lineRule="exact"/>
        <w:ind w:leftChars="100" w:left="24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五、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開放政府透明治理，優化機關管理創新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（一）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建構友善安全資料開放環境，落實資料公開透明，便利共享創新應用。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（二）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促進民眾運用實體或網路等多方管道參與決策制定，強化政策溝通及對話交流。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（三）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檢討機關內部作業，減省不必要的審核及行政作業，聚焦核心業務，推動服務創新。</w:t>
      </w:r>
    </w:p>
    <w:p w:rsidR="00EB1A24" w:rsidRPr="00975243" w:rsidRDefault="006121D6" w:rsidP="009272EB">
      <w:pPr>
        <w:suppressAutoHyphens/>
        <w:autoSpaceDN w:val="0"/>
        <w:spacing w:line="500" w:lineRule="exact"/>
        <w:ind w:leftChars="100" w:left="24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六、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掌握社經發展趨勢，專案規劃前瞻服務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（一）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主動發掘關鍵議題，前瞻規劃服務策略預為因應。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（二）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善用法規調適、資通訊技術應用及流程簡化，擴大本機關或第一線機關服務措施的運作彈性。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（三）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結合跨域整合、引進民間資源、社會創新及開放社群協作等策略，務實解決服務或公共問題。</w:t>
      </w:r>
    </w:p>
    <w:p w:rsidR="00EB1A24" w:rsidRPr="00975243" w:rsidRDefault="006121D6" w:rsidP="00975243">
      <w:pPr>
        <w:suppressAutoHyphens/>
        <w:autoSpaceDN w:val="0"/>
        <w:spacing w:line="500" w:lineRule="exact"/>
        <w:ind w:leftChars="200" w:left="1440" w:hangingChars="300" w:hanging="960"/>
        <w:jc w:val="both"/>
        <w:textAlignment w:val="baseline"/>
        <w:rPr>
          <w:rFonts w:ascii="標楷體" w:eastAsia="標楷體" w:hAnsi="標楷體"/>
          <w:kern w:val="3"/>
          <w:sz w:val="32"/>
          <w:szCs w:val="32"/>
        </w:rPr>
      </w:pPr>
      <w:r w:rsidRPr="00975243">
        <w:rPr>
          <w:rFonts w:ascii="標楷體" w:eastAsia="標楷體" w:hAnsi="標楷體" w:hint="eastAsia"/>
          <w:kern w:val="3"/>
          <w:sz w:val="32"/>
          <w:szCs w:val="32"/>
        </w:rPr>
        <w:t>（四）</w:t>
      </w:r>
      <w:r w:rsidR="00EB1A24" w:rsidRPr="00975243">
        <w:rPr>
          <w:rFonts w:ascii="標楷體" w:eastAsia="標楷體" w:hAnsi="標楷體"/>
          <w:kern w:val="3"/>
          <w:sz w:val="32"/>
          <w:szCs w:val="32"/>
        </w:rPr>
        <w:t>權衡服務措施的必要性，以及投入成本與產出效益間的合理性，重視服務的制度化及持續性。</w:t>
      </w:r>
    </w:p>
    <w:p w:rsidR="002A6CB1" w:rsidRPr="00975243" w:rsidRDefault="002A6CB1" w:rsidP="009272EB">
      <w:pPr>
        <w:snapToGrid w:val="0"/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伍、實施步驟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一、各機關應依據本實施計畫擬訂「106年度服務</w:t>
      </w:r>
      <w:r w:rsidR="00EB1A24" w:rsidRPr="00975243">
        <w:rPr>
          <w:rFonts w:ascii="標楷體" w:eastAsia="標楷體" w:hAnsi="標楷體" w:hint="eastAsia"/>
          <w:sz w:val="32"/>
          <w:szCs w:val="32"/>
        </w:rPr>
        <w:t>躍升</w:t>
      </w:r>
      <w:r w:rsidRPr="00975243">
        <w:rPr>
          <w:rFonts w:ascii="標楷體" w:eastAsia="標楷體" w:hAnsi="標楷體" w:hint="eastAsia"/>
          <w:sz w:val="32"/>
          <w:szCs w:val="32"/>
        </w:rPr>
        <w:t>執行計畫」，</w:t>
      </w:r>
      <w:r w:rsidR="00EB1A24" w:rsidRPr="00975243">
        <w:rPr>
          <w:rFonts w:ascii="標楷體" w:eastAsia="標楷體" w:hAnsi="標楷體" w:hint="eastAsia"/>
          <w:sz w:val="32"/>
          <w:szCs w:val="32"/>
        </w:rPr>
        <w:t>簽奉機關首長核定後，於106年4月30日前公開於機關網站及服務場所</w:t>
      </w:r>
      <w:r w:rsidRPr="00975243">
        <w:rPr>
          <w:rFonts w:ascii="標楷體" w:eastAsia="標楷體" w:hAnsi="標楷體" w:hint="eastAsia"/>
          <w:sz w:val="32"/>
          <w:szCs w:val="32"/>
        </w:rPr>
        <w:t>。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二、各機關擬訂執行計畫應注意事項：</w:t>
      </w:r>
    </w:p>
    <w:p w:rsidR="002A6CB1" w:rsidRPr="00975243" w:rsidRDefault="002A6CB1" w:rsidP="00975243">
      <w:pPr>
        <w:snapToGrid w:val="0"/>
        <w:spacing w:line="500" w:lineRule="exact"/>
        <w:ind w:leftChars="116" w:left="1238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（一）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各機關擬訂之執行計畫內容應包括計畫依據、目標、實施對象、執行策略及具體推動作法、實施步驟、考核作業、獎勵方式等項目。</w:t>
      </w:r>
    </w:p>
    <w:p w:rsidR="002A6CB1" w:rsidRPr="00975243" w:rsidRDefault="002A6CB1" w:rsidP="00975243">
      <w:pPr>
        <w:snapToGrid w:val="0"/>
        <w:spacing w:line="500" w:lineRule="exact"/>
        <w:ind w:leftChars="116" w:left="1238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（二）</w:t>
      </w:r>
      <w:r w:rsidR="00E70D0C" w:rsidRPr="00975243">
        <w:rPr>
          <w:rFonts w:ascii="標楷體" w:eastAsia="標楷體" w:hAnsi="標楷體"/>
          <w:sz w:val="32"/>
          <w:szCs w:val="32"/>
        </w:rPr>
        <w:t>除本實施計畫所列之</w:t>
      </w:r>
      <w:r w:rsidR="0053223B" w:rsidRPr="00975243">
        <w:rPr>
          <w:rFonts w:ascii="標楷體" w:eastAsia="標楷體" w:hAnsi="標楷體" w:hint="eastAsia"/>
          <w:sz w:val="32"/>
          <w:szCs w:val="32"/>
        </w:rPr>
        <w:t>執行</w:t>
      </w:r>
      <w:r w:rsidR="00E70D0C" w:rsidRPr="00975243">
        <w:rPr>
          <w:rFonts w:ascii="標楷體" w:eastAsia="標楷體" w:hAnsi="標楷體"/>
          <w:sz w:val="32"/>
          <w:szCs w:val="32"/>
        </w:rPr>
        <w:t>策略</w:t>
      </w:r>
      <w:r w:rsidR="0053223B" w:rsidRPr="00975243">
        <w:rPr>
          <w:rFonts w:ascii="標楷體" w:eastAsia="標楷體" w:hAnsi="標楷體" w:hint="eastAsia"/>
          <w:sz w:val="32"/>
          <w:szCs w:val="32"/>
        </w:rPr>
        <w:t>及</w:t>
      </w:r>
      <w:r w:rsidR="00E70D0C" w:rsidRPr="00975243">
        <w:rPr>
          <w:rFonts w:ascii="標楷體" w:eastAsia="標楷體" w:hAnsi="標楷體"/>
          <w:sz w:val="32"/>
          <w:szCs w:val="32"/>
        </w:rPr>
        <w:t>方法外，各機關應依組織服務目標及民眾需求，參酌業務特性、服務量能及資源配置情形，提出未來服務發展重點及優先順序，訂定相關執行計畫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，據以推動落實。</w:t>
      </w:r>
    </w:p>
    <w:p w:rsidR="002A6CB1" w:rsidRPr="00975243" w:rsidRDefault="002A6CB1" w:rsidP="00975243">
      <w:pPr>
        <w:snapToGrid w:val="0"/>
        <w:spacing w:afterLines="50" w:after="180" w:line="500" w:lineRule="exact"/>
        <w:ind w:leftChars="116" w:left="1238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（三）應檢討與為民服務有關之制度規章、作業流程、申辦手續、服務措施等各層面，突破</w:t>
      </w:r>
      <w:r w:rsidR="00973E10" w:rsidRPr="00975243">
        <w:rPr>
          <w:rFonts w:ascii="標楷體" w:eastAsia="標楷體" w:hAnsi="標楷體" w:hint="eastAsia"/>
          <w:sz w:val="32"/>
          <w:szCs w:val="32"/>
        </w:rPr>
        <w:t>成長，提供更優質服務</w:t>
      </w:r>
      <w:r w:rsidRPr="00975243">
        <w:rPr>
          <w:rFonts w:ascii="標楷體" w:eastAsia="標楷體" w:hAnsi="標楷體" w:hint="eastAsia"/>
          <w:sz w:val="32"/>
          <w:szCs w:val="32"/>
        </w:rPr>
        <w:t>。</w:t>
      </w:r>
    </w:p>
    <w:p w:rsidR="002A6CB1" w:rsidRPr="00975243" w:rsidRDefault="002A6CB1" w:rsidP="009272EB">
      <w:pPr>
        <w:snapToGrid w:val="0"/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陸、管制考核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一、本部就各機關辦理服務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躍升</w:t>
      </w:r>
      <w:r w:rsidRPr="00975243">
        <w:rPr>
          <w:rFonts w:ascii="標楷體" w:eastAsia="標楷體" w:hAnsi="標楷體" w:hint="eastAsia"/>
          <w:sz w:val="32"/>
          <w:szCs w:val="32"/>
        </w:rPr>
        <w:t>情形，得實施不定期查證及考核。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二、臺灣高等法院檢察署、本部行政執行署及矯正署對所屬機關辦理服務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躍升</w:t>
      </w:r>
      <w:r w:rsidRPr="00975243">
        <w:rPr>
          <w:rFonts w:ascii="標楷體" w:eastAsia="標楷體" w:hAnsi="標楷體" w:hint="eastAsia"/>
          <w:sz w:val="32"/>
          <w:szCs w:val="32"/>
        </w:rPr>
        <w:t>之執行情形，應實施不定期查核，並針對缺失輔導改進，作為年度為民服務績效之評審依據。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三、各機關「為民服務中心」任務編組成員，應依本實施計畫及各機關訂定之執行計畫推動辦理，並定期召集會議檢討實施成效。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四、臺灣高等法院檢察署、本部行政執行署及矯正署應分別於106年7月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、</w:t>
      </w:r>
      <w:r w:rsidRPr="00975243">
        <w:rPr>
          <w:rFonts w:ascii="標楷體" w:eastAsia="標楷體" w:hAnsi="標楷體" w:hint="eastAsia"/>
          <w:sz w:val="32"/>
          <w:szCs w:val="32"/>
        </w:rPr>
        <w:t>107年1月20日前就所屬各機關截至上月底（第1次1~6月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、</w:t>
      </w:r>
      <w:r w:rsidRPr="00975243">
        <w:rPr>
          <w:rFonts w:ascii="標楷體" w:eastAsia="標楷體" w:hAnsi="標楷體" w:hint="eastAsia"/>
          <w:sz w:val="32"/>
          <w:szCs w:val="32"/>
        </w:rPr>
        <w:t>第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2</w:t>
      </w:r>
      <w:r w:rsidRPr="00975243">
        <w:rPr>
          <w:rFonts w:ascii="標楷體" w:eastAsia="標楷體" w:hAnsi="標楷體" w:hint="eastAsia"/>
          <w:sz w:val="32"/>
          <w:szCs w:val="32"/>
        </w:rPr>
        <w:t>次1~12月）推動各該機關執行計畫之情形及階段性執行成果完成初審，並將執行成果報告（格式如附件1）及審查意見（格式如附件2）提報本部。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五、福建金門地方法院檢察署、福建連江地方法院檢察署應分別於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106年7月、107年1月20日</w:t>
      </w:r>
      <w:r w:rsidRPr="00975243">
        <w:rPr>
          <w:rFonts w:ascii="標楷體" w:eastAsia="標楷體" w:hAnsi="標楷體" w:hint="eastAsia"/>
          <w:sz w:val="32"/>
          <w:szCs w:val="32"/>
        </w:rPr>
        <w:t>前就該機關截至上月底（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第1次1~6月、第2次1~12月</w:t>
      </w:r>
      <w:r w:rsidRPr="00975243">
        <w:rPr>
          <w:rFonts w:ascii="標楷體" w:eastAsia="標楷體" w:hAnsi="標楷體" w:hint="eastAsia"/>
          <w:sz w:val="32"/>
          <w:szCs w:val="32"/>
        </w:rPr>
        <w:t>）推動各該機關執行計畫之情形及階段性執行成果報告（格式如附件1）提報本部。</w:t>
      </w:r>
    </w:p>
    <w:p w:rsidR="002A6CB1" w:rsidRPr="00975243" w:rsidRDefault="002A6CB1" w:rsidP="009272EB">
      <w:pPr>
        <w:snapToGrid w:val="0"/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柒、獎勵</w:t>
      </w:r>
    </w:p>
    <w:p w:rsidR="002A6CB1" w:rsidRPr="00975243" w:rsidRDefault="002A6CB1" w:rsidP="00975243">
      <w:pPr>
        <w:snapToGrid w:val="0"/>
        <w:spacing w:afterLines="50" w:after="180" w:line="500" w:lineRule="exact"/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/>
          <w:sz w:val="32"/>
          <w:szCs w:val="32"/>
        </w:rPr>
        <w:t xml:space="preserve">    </w:t>
      </w:r>
      <w:r w:rsidRPr="00975243">
        <w:rPr>
          <w:rFonts w:ascii="標楷體" w:eastAsia="標楷體" w:hAnsi="標楷體" w:hint="eastAsia"/>
          <w:sz w:val="32"/>
          <w:szCs w:val="32"/>
        </w:rPr>
        <w:t>有關評審及獎勵方式，依</w:t>
      </w:r>
      <w:r w:rsidR="0053223B" w:rsidRPr="00975243">
        <w:rPr>
          <w:rFonts w:ascii="標楷體" w:eastAsia="標楷體" w:hAnsi="標楷體" w:hint="eastAsia"/>
          <w:sz w:val="32"/>
          <w:szCs w:val="32"/>
        </w:rPr>
        <w:t>行政院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第1屆</w:t>
      </w:r>
      <w:r w:rsidRPr="00975243">
        <w:rPr>
          <w:rFonts w:ascii="標楷體" w:eastAsia="標楷體" w:hAnsi="標楷體" w:hint="eastAsia"/>
          <w:sz w:val="32"/>
          <w:szCs w:val="32"/>
        </w:rPr>
        <w:t>「政府服務獎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」</w:t>
      </w:r>
      <w:r w:rsidRPr="00975243">
        <w:rPr>
          <w:rFonts w:ascii="標楷體" w:eastAsia="標楷體" w:hAnsi="標楷體" w:hint="eastAsia"/>
          <w:sz w:val="32"/>
          <w:szCs w:val="32"/>
        </w:rPr>
        <w:t>評獎實施計畫及「法務部106年度</w:t>
      </w:r>
      <w:r w:rsidR="00975243" w:rsidRPr="00975243">
        <w:rPr>
          <w:rFonts w:ascii="標楷體" w:eastAsia="標楷體" w:hAnsi="標楷體" w:hint="eastAsia"/>
          <w:sz w:val="32"/>
          <w:szCs w:val="32"/>
        </w:rPr>
        <w:t>政府</w:t>
      </w:r>
      <w:r w:rsidRPr="00975243">
        <w:rPr>
          <w:rFonts w:ascii="標楷體" w:eastAsia="標楷體" w:hAnsi="標楷體" w:hint="eastAsia"/>
          <w:sz w:val="32"/>
          <w:szCs w:val="32"/>
        </w:rPr>
        <w:t>服務獎評獎實施計畫」等相關規定辦理。</w:t>
      </w:r>
    </w:p>
    <w:p w:rsidR="002A6CB1" w:rsidRPr="00975243" w:rsidRDefault="002A6CB1" w:rsidP="009272EB">
      <w:pPr>
        <w:snapToGrid w:val="0"/>
        <w:spacing w:beforeLines="25" w:before="90" w:afterLines="25" w:after="90" w:line="500" w:lineRule="exact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捌、其他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一、各機關應依本實施計畫擬訂之服務</w:t>
      </w:r>
      <w:r w:rsidR="00E70D0C" w:rsidRPr="00975243">
        <w:rPr>
          <w:rFonts w:ascii="標楷體" w:eastAsia="標楷體" w:hAnsi="標楷體" w:hint="eastAsia"/>
          <w:sz w:val="32"/>
          <w:szCs w:val="32"/>
        </w:rPr>
        <w:t>躍升</w:t>
      </w:r>
      <w:r w:rsidRPr="00975243">
        <w:rPr>
          <w:rFonts w:ascii="標楷體" w:eastAsia="標楷體" w:hAnsi="標楷體" w:hint="eastAsia"/>
          <w:sz w:val="32"/>
          <w:szCs w:val="32"/>
        </w:rPr>
        <w:t>執行計畫內容，主動公開於機關網站及服務場所。</w:t>
      </w:r>
    </w:p>
    <w:p w:rsidR="002A6CB1" w:rsidRPr="00975243" w:rsidRDefault="002A6CB1" w:rsidP="00975243">
      <w:pPr>
        <w:snapToGrid w:val="0"/>
        <w:spacing w:line="500" w:lineRule="exac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 w:rsidRPr="00975243">
        <w:rPr>
          <w:rFonts w:ascii="標楷體" w:eastAsia="標楷體" w:hAnsi="標楷體" w:hint="eastAsia"/>
          <w:sz w:val="32"/>
          <w:szCs w:val="32"/>
        </w:rPr>
        <w:t>二、本計畫如有未盡事宜，本部得依實際需要或其他規定，另行補充或修正。</w:t>
      </w:r>
    </w:p>
    <w:p w:rsidR="009F6FDF" w:rsidRPr="00975243" w:rsidRDefault="009F6FDF" w:rsidP="006121D6">
      <w:pPr>
        <w:spacing w:line="500" w:lineRule="exact"/>
        <w:rPr>
          <w:b/>
        </w:rPr>
      </w:pPr>
    </w:p>
    <w:sectPr w:rsidR="009F6FDF" w:rsidRPr="00975243" w:rsidSect="00675017">
      <w:footerReference w:type="even" r:id="rId9"/>
      <w:footerReference w:type="default" r:id="rId10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E2" w:rsidRDefault="00F00CE2">
      <w:r>
        <w:separator/>
      </w:r>
    </w:p>
  </w:endnote>
  <w:endnote w:type="continuationSeparator" w:id="0">
    <w:p w:rsidR="00F00CE2" w:rsidRDefault="00F0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A8" w:rsidRDefault="002A6CB1" w:rsidP="00CC7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48A8" w:rsidRDefault="00F00CE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8A8" w:rsidRDefault="002A6CB1" w:rsidP="00CC7B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CE2">
      <w:rPr>
        <w:rStyle w:val="a5"/>
        <w:noProof/>
      </w:rPr>
      <w:t>1</w:t>
    </w:r>
    <w:r>
      <w:rPr>
        <w:rStyle w:val="a5"/>
      </w:rPr>
      <w:fldChar w:fldCharType="end"/>
    </w:r>
  </w:p>
  <w:p w:rsidR="004D48A8" w:rsidRDefault="00F00C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E2" w:rsidRDefault="00F00CE2">
      <w:r>
        <w:separator/>
      </w:r>
    </w:p>
  </w:footnote>
  <w:footnote w:type="continuationSeparator" w:id="0">
    <w:p w:rsidR="00F00CE2" w:rsidRDefault="00F0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72D"/>
    <w:multiLevelType w:val="multilevel"/>
    <w:tmpl w:val="2B2A6516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D4120A"/>
    <w:multiLevelType w:val="multilevel"/>
    <w:tmpl w:val="9EFA7A44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5C202C"/>
    <w:multiLevelType w:val="multilevel"/>
    <w:tmpl w:val="EAD4581C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D851FB"/>
    <w:multiLevelType w:val="multilevel"/>
    <w:tmpl w:val="B81CAF64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817820"/>
    <w:multiLevelType w:val="multilevel"/>
    <w:tmpl w:val="79645A60"/>
    <w:lvl w:ilvl="0">
      <w:start w:val="1"/>
      <w:numFmt w:val="taiwaneseCountingThousand"/>
      <w:lvlText w:val="（%1）"/>
      <w:lvlJc w:val="left"/>
      <w:pPr>
        <w:ind w:left="156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5352EE"/>
    <w:multiLevelType w:val="multilevel"/>
    <w:tmpl w:val="5C7A21C8"/>
    <w:lvl w:ilvl="0">
      <w:start w:val="1"/>
      <w:numFmt w:val="taiwaneseCountingThousand"/>
      <w:lvlText w:val="（%1）"/>
      <w:lvlJc w:val="left"/>
      <w:pPr>
        <w:ind w:left="802" w:hanging="480"/>
      </w:pPr>
    </w:lvl>
    <w:lvl w:ilvl="1">
      <w:start w:val="1"/>
      <w:numFmt w:val="taiwaneseCountingThousand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F222B24"/>
    <w:multiLevelType w:val="multilevel"/>
    <w:tmpl w:val="7E04D446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B1"/>
    <w:rsid w:val="00033EFA"/>
    <w:rsid w:val="00047434"/>
    <w:rsid w:val="00197DF5"/>
    <w:rsid w:val="001A4EDF"/>
    <w:rsid w:val="00230EA3"/>
    <w:rsid w:val="002A6CB1"/>
    <w:rsid w:val="00366A85"/>
    <w:rsid w:val="003C4D1F"/>
    <w:rsid w:val="004B57D0"/>
    <w:rsid w:val="0053223B"/>
    <w:rsid w:val="00536B2C"/>
    <w:rsid w:val="005C2BEF"/>
    <w:rsid w:val="006121D6"/>
    <w:rsid w:val="006C093F"/>
    <w:rsid w:val="006D03CD"/>
    <w:rsid w:val="00883815"/>
    <w:rsid w:val="009272EB"/>
    <w:rsid w:val="00973E10"/>
    <w:rsid w:val="00975243"/>
    <w:rsid w:val="009A13ED"/>
    <w:rsid w:val="009F6FDF"/>
    <w:rsid w:val="00A229BC"/>
    <w:rsid w:val="00AB0B83"/>
    <w:rsid w:val="00B760D4"/>
    <w:rsid w:val="00B849D0"/>
    <w:rsid w:val="00B861A0"/>
    <w:rsid w:val="00B90CD7"/>
    <w:rsid w:val="00C538BC"/>
    <w:rsid w:val="00C761F9"/>
    <w:rsid w:val="00D04C60"/>
    <w:rsid w:val="00DC7E22"/>
    <w:rsid w:val="00E70D0C"/>
    <w:rsid w:val="00E85023"/>
    <w:rsid w:val="00EB1A24"/>
    <w:rsid w:val="00F00CE2"/>
    <w:rsid w:val="00F7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6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A6CB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A6CB1"/>
    <w:rPr>
      <w:rFonts w:cs="Times New Roman"/>
    </w:rPr>
  </w:style>
  <w:style w:type="paragraph" w:styleId="a6">
    <w:name w:val="Body Text"/>
    <w:basedOn w:val="a"/>
    <w:link w:val="a7"/>
    <w:uiPriority w:val="99"/>
    <w:rsid w:val="002A6CB1"/>
    <w:pPr>
      <w:spacing w:after="120"/>
    </w:pPr>
  </w:style>
  <w:style w:type="character" w:customStyle="1" w:styleId="a7">
    <w:name w:val="本文 字元"/>
    <w:basedOn w:val="a0"/>
    <w:link w:val="a6"/>
    <w:uiPriority w:val="99"/>
    <w:rsid w:val="002A6CB1"/>
    <w:rPr>
      <w:rFonts w:ascii="Times New Roman" w:eastAsia="新細明體" w:hAnsi="Times New Roman" w:cs="Times New Roman"/>
      <w:szCs w:val="24"/>
    </w:rPr>
  </w:style>
  <w:style w:type="character" w:styleId="a8">
    <w:name w:val="Placeholder Text"/>
    <w:basedOn w:val="a0"/>
    <w:uiPriority w:val="99"/>
    <w:semiHidden/>
    <w:rsid w:val="0088381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8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8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6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760D4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4ED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1A4ED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6C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A6CB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2A6CB1"/>
    <w:rPr>
      <w:rFonts w:cs="Times New Roman"/>
    </w:rPr>
  </w:style>
  <w:style w:type="paragraph" w:styleId="a6">
    <w:name w:val="Body Text"/>
    <w:basedOn w:val="a"/>
    <w:link w:val="a7"/>
    <w:uiPriority w:val="99"/>
    <w:rsid w:val="002A6CB1"/>
    <w:pPr>
      <w:spacing w:after="120"/>
    </w:pPr>
  </w:style>
  <w:style w:type="character" w:customStyle="1" w:styleId="a7">
    <w:name w:val="本文 字元"/>
    <w:basedOn w:val="a0"/>
    <w:link w:val="a6"/>
    <w:uiPriority w:val="99"/>
    <w:rsid w:val="002A6CB1"/>
    <w:rPr>
      <w:rFonts w:ascii="Times New Roman" w:eastAsia="新細明體" w:hAnsi="Times New Roman" w:cs="Times New Roman"/>
      <w:szCs w:val="24"/>
    </w:rPr>
  </w:style>
  <w:style w:type="character" w:styleId="a8">
    <w:name w:val="Placeholder Text"/>
    <w:basedOn w:val="a0"/>
    <w:uiPriority w:val="99"/>
    <w:semiHidden/>
    <w:rsid w:val="0088381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8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8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6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760D4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1A4EDF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1A4ED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AE05-8542-4762-BF63-8437C47E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1853</Characters>
  <Application>Microsoft Office Word</Application>
  <DocSecurity>0</DocSecurity>
  <Lines>15</Lines>
  <Paragraphs>4</Paragraphs>
  <ScaleCrop>false</ScaleCrop>
  <Company>MOJ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5</cp:revision>
  <cp:lastPrinted>2017-02-23T03:37:00Z</cp:lastPrinted>
  <dcterms:created xsi:type="dcterms:W3CDTF">2017-02-23T03:36:00Z</dcterms:created>
  <dcterms:modified xsi:type="dcterms:W3CDTF">2017-02-23T08:25:00Z</dcterms:modified>
</cp:coreProperties>
</file>